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938"/>
      </w:tblGrid>
      <w:tr w:rsidR="00883311" w:rsidTr="00883311">
        <w:tc>
          <w:tcPr>
            <w:tcW w:w="2830" w:type="dxa"/>
          </w:tcPr>
          <w:p w:rsidR="00883311" w:rsidRDefault="00883311">
            <w:pPr>
              <w:rPr>
                <w:rFonts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549275</wp:posOffset>
                  </wp:positionV>
                  <wp:extent cx="1257300" cy="1238250"/>
                  <wp:effectExtent l="0" t="0" r="0" b="0"/>
                  <wp:wrapThrough wrapText="bothSides">
                    <wp:wrapPolygon edited="0">
                      <wp:start x="0" y="0"/>
                      <wp:lineTo x="0" y="21268"/>
                      <wp:lineTo x="21273" y="21268"/>
                      <wp:lineTo x="21273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35DE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312547B" wp14:editId="113FAB6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123190</wp:posOffset>
                  </wp:positionV>
                  <wp:extent cx="1247775" cy="346075"/>
                  <wp:effectExtent l="0" t="0" r="9525" b="0"/>
                  <wp:wrapThrough wrapText="bothSides">
                    <wp:wrapPolygon edited="0">
                      <wp:start x="4947" y="0"/>
                      <wp:lineTo x="0" y="2378"/>
                      <wp:lineTo x="0" y="20213"/>
                      <wp:lineTo x="21435" y="20213"/>
                      <wp:lineTo x="21435" y="5945"/>
                      <wp:lineTo x="11212" y="0"/>
                      <wp:lineTo x="4947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883311" w:rsidRPr="00586F77" w:rsidRDefault="00883311" w:rsidP="008833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Бастауыш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негізгі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жалпы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білімнің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жалпы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беретін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оқу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бағдарламаларын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іске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асыратын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ұйымдарына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оқуға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қабылдаудың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үлгілік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қағидаларын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бекіту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ғылым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2018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12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қазандағы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№ 564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бұйрығына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өзгерістер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толықтыру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енгізу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</w:p>
          <w:p w:rsidR="00883311" w:rsidRDefault="00883311" w:rsidP="0088331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маусымдағы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275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бұйрығы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Әділет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министрлігінде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маусымда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22933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тіркелді</w:t>
            </w:r>
            <w:proofErr w:type="spellEnd"/>
          </w:p>
          <w:p w:rsidR="00883311" w:rsidRDefault="0088331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A22A6" w:rsidRPr="00586F77" w:rsidRDefault="008A22A6" w:rsidP="00086157">
      <w:pPr>
        <w:spacing w:after="0"/>
        <w:jc w:val="both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37"/>
        <w:gridCol w:w="4535"/>
      </w:tblGrid>
      <w:tr w:rsidR="00586F77" w:rsidRPr="00586F77" w:rsidTr="00586F77">
        <w:trPr>
          <w:trHeight w:val="30"/>
          <w:tblCellSpacing w:w="0" w:type="auto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F77" w:rsidRPr="00586F77" w:rsidRDefault="00586F77" w:rsidP="005F09A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F77" w:rsidRPr="00586F77" w:rsidRDefault="00586F77" w:rsidP="005F09A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министрі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маусымдағы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№ 275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бұйрығына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>1-қосымша</w:t>
            </w:r>
          </w:p>
        </w:tc>
      </w:tr>
      <w:tr w:rsidR="00586F77" w:rsidRPr="00586F77" w:rsidTr="00586F77">
        <w:trPr>
          <w:trHeight w:val="30"/>
          <w:tblCellSpacing w:w="0" w:type="auto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F77" w:rsidRPr="00586F77" w:rsidRDefault="00586F77" w:rsidP="005F09A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F77" w:rsidRPr="00586F77" w:rsidRDefault="00586F77" w:rsidP="005F09A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білімнің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бағдарламаларын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асыратын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ұйымдарына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оқуға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қабылдаудың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үлгілік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>1-қосымша</w:t>
            </w:r>
          </w:p>
        </w:tc>
      </w:tr>
    </w:tbl>
    <w:p w:rsidR="00586F77" w:rsidRPr="00586F77" w:rsidRDefault="00586F77" w:rsidP="00586F77">
      <w:pPr>
        <w:spacing w:after="0"/>
        <w:rPr>
          <w:rFonts w:cs="Times New Roman"/>
          <w:sz w:val="24"/>
          <w:szCs w:val="24"/>
        </w:rPr>
      </w:pPr>
      <w:bookmarkStart w:id="0" w:name="z32"/>
      <w:r>
        <w:rPr>
          <w:rFonts w:cs="Times New Roman"/>
          <w:b/>
          <w:color w:val="000000"/>
          <w:sz w:val="24"/>
          <w:szCs w:val="24"/>
        </w:rPr>
        <w:t xml:space="preserve"> «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Бастауыш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,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негізгі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орта,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жалпы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білім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берудің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жалпы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білім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беретін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бағдарламалары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бойынша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оқыту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үшін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ведомстволық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бағыныстылығына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қарамастан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білім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ұйымдарына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құжаттарды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қабылдау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және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оқуға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қабылдау</w:t>
      </w:r>
      <w:proofErr w:type="spellEnd"/>
      <w:r>
        <w:rPr>
          <w:rFonts w:cs="Times New Roman"/>
          <w:b/>
          <w:color w:val="000000"/>
          <w:sz w:val="24"/>
          <w:szCs w:val="24"/>
        </w:rPr>
        <w:t>»</w:t>
      </w:r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мемлекеттік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қызметті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86F77">
        <w:rPr>
          <w:rFonts w:cs="Times New Roman"/>
          <w:b/>
          <w:color w:val="000000"/>
          <w:sz w:val="24"/>
          <w:szCs w:val="24"/>
        </w:rPr>
        <w:t>көрсету</w:t>
      </w:r>
      <w:proofErr w:type="spellEnd"/>
      <w:r w:rsidRPr="00586F77">
        <w:rPr>
          <w:rFonts w:cs="Times New Roman"/>
          <w:b/>
          <w:color w:val="000000"/>
          <w:sz w:val="24"/>
          <w:szCs w:val="24"/>
        </w:rPr>
        <w:t xml:space="preserve"> стандарты</w:t>
      </w:r>
    </w:p>
    <w:tbl>
      <w:tblPr>
        <w:tblW w:w="1008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2074"/>
        <w:gridCol w:w="7654"/>
      </w:tblGrid>
      <w:tr w:rsidR="00586F77" w:rsidRPr="00586F77" w:rsidTr="00A364E8">
        <w:trPr>
          <w:trHeight w:val="30"/>
        </w:trPr>
        <w:tc>
          <w:tcPr>
            <w:tcW w:w="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0"/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орта,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ұйымдары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бұдан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әрі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86F77" w:rsidRPr="00586F77" w:rsidTr="00A364E8">
        <w:trPr>
          <w:trHeight w:val="30"/>
        </w:trPr>
        <w:tc>
          <w:tcPr>
            <w:tcW w:w="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ұсыну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1) www.egov.kz "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үкімет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" веб-порталы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бұдан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әрі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– портал)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;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асырылады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86F77" w:rsidRPr="00586F77" w:rsidTr="00A364E8">
        <w:trPr>
          <w:trHeight w:val="30"/>
        </w:trPr>
        <w:tc>
          <w:tcPr>
            <w:tcW w:w="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топтамасын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тапсырған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сәттен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портал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жүгінген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орта,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ұйымдарына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оқудың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күндізгі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кешкі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нысанына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күнтізбелік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тамыздан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кешіктірмей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күнтізбелік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тамызына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10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күнтізбелік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тамызына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дейін</w:t>
            </w:r>
            <w:proofErr w:type="spellEnd"/>
          </w:p>
        </w:tc>
      </w:tr>
      <w:tr w:rsidR="00586F77" w:rsidRPr="00586F77" w:rsidTr="00A364E8">
        <w:trPr>
          <w:trHeight w:val="30"/>
        </w:trPr>
        <w:tc>
          <w:tcPr>
            <w:tcW w:w="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Электронды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ішінара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автоматтандырылған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) /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қағаз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түрінде</w:t>
            </w:r>
            <w:proofErr w:type="spellEnd"/>
          </w:p>
        </w:tc>
      </w:tr>
      <w:tr w:rsidR="00586F77" w:rsidRPr="00586F77" w:rsidTr="00A364E8">
        <w:trPr>
          <w:trHeight w:val="30"/>
        </w:trPr>
        <w:tc>
          <w:tcPr>
            <w:tcW w:w="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Портал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жүгінген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кабинетіне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ағымдағы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қыркүйегінен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ұйымына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оқуға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хабарлама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алады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пакетін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ұсынған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- бас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тарту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себебін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отырып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дәлелді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тарту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хабарлама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келеді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барысында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ағымдағы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қыркүйектен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өз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аумағынан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өтініш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үш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алушыға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содан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кейін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аумақтан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алдыңғы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тіркелгендер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қатарынан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 </w:t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үміткерге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ағымдағы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қыркүйектен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қабылданғаны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хабарлама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жолдайды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жүгінген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қағаз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жүзінде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) -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ағымдағы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қыркүйегінен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ұйымына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қабылдағаны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оқуға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қабылданғаны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пакетін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тапсыру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- бас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тартудың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себебін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отырып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дәлелді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тарту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хабарлама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беріледі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86F77" w:rsidRPr="00586F77" w:rsidTr="00A364E8">
        <w:trPr>
          <w:trHeight w:val="30"/>
        </w:trPr>
        <w:tc>
          <w:tcPr>
            <w:tcW w:w="3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972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алушыдан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алынатын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төлем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заңнамасында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жағдайларда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оны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</w:p>
        </w:tc>
      </w:tr>
      <w:tr w:rsidR="00586F77" w:rsidRPr="00586F77" w:rsidTr="00A364E8">
        <w:trPr>
          <w:trHeight w:val="30"/>
        </w:trPr>
        <w:tc>
          <w:tcPr>
            <w:tcW w:w="35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Тегін</w:t>
            </w:r>
            <w:proofErr w:type="spellEnd"/>
          </w:p>
        </w:tc>
      </w:tr>
      <w:tr w:rsidR="00586F77" w:rsidRPr="00586F77" w:rsidTr="00A364E8">
        <w:trPr>
          <w:trHeight w:val="30"/>
        </w:trPr>
        <w:tc>
          <w:tcPr>
            <w:tcW w:w="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- 2015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қарашадағы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кодексіне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бұдан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әрі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– Кодекс)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демалыс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мереке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күндерін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қоспағанда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дүйсенбіден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жұманы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қоса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алғанда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сағат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13.00-ден 14.30-ға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түскі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үзіліспен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кестесіне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сағат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9.00-ден 18.30-ға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2) портал –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жөндеу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жұмыстарын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жүргізуге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үзілістерді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қоспағанда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тәулік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бойы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уақыты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аяқталғаннан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кейін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Кодекске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демалыс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мереке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күндері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жүгінген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өтініштерді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нәтижелерін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келесі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асырылады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).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орындарының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мекенжайлары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интернет-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ресурсында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;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2) www.egov.kz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порталында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орналасқан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86F77" w:rsidRPr="00586F77" w:rsidTr="00A364E8">
        <w:trPr>
          <w:trHeight w:val="30"/>
        </w:trPr>
        <w:tc>
          <w:tcPr>
            <w:tcW w:w="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порталға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ата-аналардың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өкілдердің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1-қосымшасының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нысанына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өтініш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2) "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ұйымдарының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бастапқы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құжаттама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нысандарын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бекіту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міндетін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қазандағы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бұйрығымен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актілерді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148139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065/у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жағдайы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анықтама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"Бала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денсаулығы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паспорты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" 026/у-3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міндетін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2003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24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маусымдағы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469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бұйрығымен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026/у-3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актілерді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2423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);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3х4 см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өлшеміндегі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фотосуретi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ата-аналардың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өкілдердің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1-қосымшасының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нысанына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өтініш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түпнұсқасы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түпнұсқасы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сәйкестендіру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ол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алушыға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қайтарылады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);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жағдайы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анықтама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("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ұйымдарының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бастапқы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құжаттама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нысандарын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бекіту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міндетін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қазандағы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бұйрығымен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актілерді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148139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065/у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жағдайы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анықтама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"Бала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денсаулығы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паспорты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" 026/у-3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толтыру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жүргізу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Нұсқаулықты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бекіту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м.а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. 2003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24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маусымдағы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469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бұйрығымен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актілерді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2423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026/у-3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;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данада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3х4 см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өлшеміндегі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фотосуретi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Шетелдік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азаматтығы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жоқ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алушылар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өздерінің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lastRenderedPageBreak/>
              <w:t>мәртебесін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айқындайтын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тұрғылықты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жері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тіркелгені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белгісі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мынадай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бірін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ұсынады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шетелдік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шетелдіктің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тұруға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ықтиярхаты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;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азаматтығы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жоқ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азаматтығы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жоқ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адамның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куәлігі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босқын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босқын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куәлігі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4) пана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іздеуші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– пана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іздеуші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адамның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куәлігі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қандас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қандас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куәлігі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куәлігі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мекенжай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анықтамасы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мәліметтерді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ақпараттық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жүйелерден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үкімет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шлюзі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алады</w:t>
            </w:r>
            <w:proofErr w:type="spellEnd"/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органдар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шектеу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іс-шараларын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асырған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төтенше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жағдай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белгілі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аумақта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табиғи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техногендік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сипаттағы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төтенше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жағдайлар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жағдайларда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065/у и 026/у-3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анықтамаларды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алушылар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аумақта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шектеу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іс-шараларын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алып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тастауға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төтенше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жағдайдың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қолданысын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тоқтатуға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қарай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тікелей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ұйымдарына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ұсынады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86F77" w:rsidRPr="00586F77" w:rsidTr="00A364E8">
        <w:trPr>
          <w:trHeight w:val="30"/>
        </w:trPr>
        <w:tc>
          <w:tcPr>
            <w:tcW w:w="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заңнамасында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көрсетуден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тартуы</w:t>
            </w:r>
            <w:proofErr w:type="spellEnd"/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ұсынған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олардағы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деректердің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мәліметтердің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анық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еместігін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ұсынған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құжаттарының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2018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12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қазандағы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546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бұйрығымен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актілерді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№ 17553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берудің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бағдарламаларын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асыратын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ұйымдарына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оқуға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қабылдаудың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үлгілік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қағидаларында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талаптарға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келмеуі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;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сынып-жинақталымының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шамадан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толуы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86F77" w:rsidRPr="00586F77" w:rsidTr="00A364E8">
        <w:trPr>
          <w:trHeight w:val="30"/>
        </w:trPr>
        <w:tc>
          <w:tcPr>
            <w:tcW w:w="3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қызметтерді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корпорация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ұсыну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ерекшеліктерін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ескеретін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топтамасын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тапсыру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күтудің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рұқсат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етілген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ұзақ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уақыты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15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жиырма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) минут.</w:t>
            </w:r>
          </w:p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көрсетудің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ең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ұзақ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мерзімі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минуттан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аспайды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ата-анасының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өкілдерінің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) ЭЦҚ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портал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нысанда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алуға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мүмкіндігі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бар.</w:t>
            </w:r>
          </w:p>
          <w:p w:rsidR="00586F77" w:rsidRDefault="00586F77" w:rsidP="00586F77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көрсетудің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тәртібі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мәртебесі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ақпаратты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порталдың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кабинеті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мәселелері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бірыңғай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байланыс-орталығы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бірыңғай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байланыс-орталығы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(1414), 8-800-080-7777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қашықтықтан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қолжетімділік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режимінде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мүмкіндігі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бар.</w:t>
            </w:r>
            <w:r w:rsidRPr="00586F7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Үшінші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тұлғалардың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шарттары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  <w:p w:rsidR="00586F77" w:rsidRPr="00586F77" w:rsidRDefault="00586F77" w:rsidP="00586F7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Порталдағы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кабинеттен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ақпарат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сұралатын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келісімімен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үшінші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тұлғалардың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color w:val="000000"/>
                <w:sz w:val="24"/>
                <w:szCs w:val="24"/>
              </w:rPr>
              <w:t>сұранысы</w:t>
            </w:r>
            <w:proofErr w:type="spellEnd"/>
            <w:r w:rsidRPr="00586F7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86F77" w:rsidRPr="00586F77" w:rsidRDefault="00586F77" w:rsidP="00086157">
      <w:pPr>
        <w:spacing w:after="0"/>
        <w:jc w:val="both"/>
        <w:rPr>
          <w:rFonts w:cs="Times New Roman"/>
          <w:sz w:val="24"/>
          <w:szCs w:val="24"/>
        </w:rPr>
      </w:pPr>
    </w:p>
    <w:p w:rsidR="00086157" w:rsidRDefault="00086157">
      <w:pPr>
        <w:rPr>
          <w:rFonts w:cs="Times New Roman"/>
          <w:sz w:val="24"/>
          <w:szCs w:val="24"/>
        </w:rPr>
      </w:pPr>
    </w:p>
    <w:p w:rsidR="00E530F5" w:rsidRDefault="00E530F5">
      <w:pPr>
        <w:rPr>
          <w:rFonts w:cs="Times New Roman"/>
          <w:sz w:val="24"/>
          <w:szCs w:val="24"/>
        </w:rPr>
      </w:pPr>
    </w:p>
    <w:p w:rsidR="00883311" w:rsidRDefault="00883311">
      <w:pPr>
        <w:rPr>
          <w:rFonts w:cs="Times New Roman"/>
          <w:sz w:val="24"/>
          <w:szCs w:val="24"/>
        </w:rPr>
      </w:pPr>
    </w:p>
    <w:p w:rsidR="00E530F5" w:rsidRDefault="00E530F5">
      <w:pPr>
        <w:rPr>
          <w:rFonts w:cs="Times New Roman"/>
          <w:sz w:val="24"/>
          <w:szCs w:val="24"/>
        </w:rPr>
      </w:pPr>
    </w:p>
    <w:p w:rsidR="00E530F5" w:rsidRDefault="00E530F5">
      <w:pPr>
        <w:rPr>
          <w:rFonts w:cs="Times New Roman"/>
          <w:sz w:val="24"/>
          <w:szCs w:val="24"/>
        </w:rPr>
      </w:pPr>
    </w:p>
    <w:p w:rsidR="00E530F5" w:rsidRDefault="00E530F5">
      <w:pPr>
        <w:rPr>
          <w:rFonts w:cs="Times New Roman"/>
          <w:sz w:val="24"/>
          <w:szCs w:val="24"/>
        </w:rPr>
      </w:pPr>
    </w:p>
    <w:tbl>
      <w:tblPr>
        <w:tblStyle w:val="a6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796"/>
      </w:tblGrid>
      <w:tr w:rsidR="00883311" w:rsidTr="00883311">
        <w:tc>
          <w:tcPr>
            <w:tcW w:w="2972" w:type="dxa"/>
          </w:tcPr>
          <w:p w:rsidR="00883311" w:rsidRDefault="00883311">
            <w:pPr>
              <w:rPr>
                <w:rFonts w:cs="Times New Roman"/>
                <w:sz w:val="24"/>
                <w:szCs w:val="24"/>
              </w:rPr>
            </w:pPr>
            <w:bookmarkStart w:id="1" w:name="_GoBack"/>
            <w:r w:rsidRPr="008835DE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11FA7929" wp14:editId="5106CFEB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153035</wp:posOffset>
                  </wp:positionV>
                  <wp:extent cx="1247775" cy="346075"/>
                  <wp:effectExtent l="0" t="0" r="9525" b="0"/>
                  <wp:wrapThrough wrapText="bothSides">
                    <wp:wrapPolygon edited="0">
                      <wp:start x="4947" y="0"/>
                      <wp:lineTo x="0" y="2378"/>
                      <wp:lineTo x="0" y="20213"/>
                      <wp:lineTo x="21435" y="20213"/>
                      <wp:lineTo x="21435" y="5945"/>
                      <wp:lineTo x="11212" y="0"/>
                      <wp:lineTo x="4947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3311" w:rsidRDefault="00883311">
            <w:pPr>
              <w:rPr>
                <w:rFonts w:cs="Times New Roman"/>
                <w:sz w:val="24"/>
                <w:szCs w:val="24"/>
              </w:rPr>
            </w:pPr>
          </w:p>
          <w:p w:rsidR="00883311" w:rsidRDefault="00883311">
            <w:pPr>
              <w:rPr>
                <w:rFonts w:cs="Times New Roman"/>
                <w:sz w:val="24"/>
                <w:szCs w:val="24"/>
              </w:rPr>
            </w:pPr>
          </w:p>
          <w:p w:rsidR="00883311" w:rsidRDefault="00883311">
            <w:pPr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D6342CA" wp14:editId="3405FFBF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72390</wp:posOffset>
                  </wp:positionV>
                  <wp:extent cx="1190625" cy="1190625"/>
                  <wp:effectExtent l="0" t="0" r="9525" b="9525"/>
                  <wp:wrapThrough wrapText="bothSides">
                    <wp:wrapPolygon edited="0">
                      <wp:start x="0" y="0"/>
                      <wp:lineTo x="0" y="21427"/>
                      <wp:lineTo x="21427" y="21427"/>
                      <wp:lineTo x="2142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2" t="4225" r="19653" b="7746"/>
                          <a:stretch/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3311" w:rsidRDefault="0088331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883311" w:rsidRPr="008835DE" w:rsidRDefault="00883311" w:rsidP="00883311">
            <w:pPr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b/>
                <w:color w:val="000000"/>
                <w:sz w:val="24"/>
                <w:szCs w:val="24"/>
              </w:rPr>
              <w:t>О внесении изменений и дополнения в приказ Министра образования и науки Республики Казахстан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от 12 октября 2018 года № 564 «</w:t>
            </w:r>
            <w:r w:rsidRPr="008835DE">
              <w:rPr>
                <w:rFonts w:cs="Times New Roman"/>
                <w:b/>
                <w:color w:val="000000"/>
                <w:sz w:val="24"/>
                <w:szCs w:val="24"/>
              </w:rPr>
      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»</w:t>
            </w:r>
          </w:p>
          <w:p w:rsidR="00883311" w:rsidRDefault="00883311" w:rsidP="00883311">
            <w:pPr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Приказ Министра образования и науки Республики Казахстан от 3 июня 2021 года № 275. Зарегистрирован в Министерстве юстиции Республики Казахстан 4 июня 2021 года № 22933</w:t>
            </w:r>
          </w:p>
        </w:tc>
      </w:tr>
      <w:bookmarkEnd w:id="1"/>
    </w:tbl>
    <w:p w:rsidR="00E530F5" w:rsidRPr="008835DE" w:rsidRDefault="00E530F5" w:rsidP="00E530F5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2"/>
        <w:gridCol w:w="4070"/>
      </w:tblGrid>
      <w:tr w:rsidR="00E530F5" w:rsidRPr="008835DE" w:rsidTr="00CE57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30F5" w:rsidRPr="008835DE" w:rsidRDefault="00E530F5" w:rsidP="00CE57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30F5" w:rsidRPr="008835DE" w:rsidRDefault="00E530F5" w:rsidP="00CE57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Приложение 1 к приказу 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>Министра образования и науки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>Республики Казахстан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>от 3 июня 2021 года № 275</w:t>
            </w:r>
          </w:p>
        </w:tc>
      </w:tr>
      <w:tr w:rsidR="00E530F5" w:rsidRPr="008835DE" w:rsidTr="00CE57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30F5" w:rsidRPr="008835DE" w:rsidRDefault="00E530F5" w:rsidP="00CE57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30F5" w:rsidRPr="008835DE" w:rsidRDefault="00E530F5" w:rsidP="00CE57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Приложение 1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к Типовым правилам приема 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на обучение в организации 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образования, реализующие 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общеобразовательные учебные 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программы начального, 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основного среднего и общего 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>среднего образования</w:t>
            </w:r>
          </w:p>
        </w:tc>
      </w:tr>
    </w:tbl>
    <w:p w:rsidR="00E530F5" w:rsidRPr="008835DE" w:rsidRDefault="00E530F5" w:rsidP="00E530F5">
      <w:pPr>
        <w:spacing w:after="0"/>
        <w:rPr>
          <w:rFonts w:cs="Times New Roman"/>
          <w:sz w:val="24"/>
          <w:szCs w:val="24"/>
        </w:rPr>
      </w:pPr>
      <w:bookmarkStart w:id="2" w:name="z41"/>
      <w:r w:rsidRPr="008835DE">
        <w:rPr>
          <w:rFonts w:cs="Times New Roman"/>
          <w:b/>
          <w:color w:val="000000"/>
          <w:sz w:val="24"/>
          <w:szCs w:val="24"/>
        </w:rPr>
        <w:t xml:space="preserve"> Ст</w:t>
      </w:r>
      <w:r>
        <w:rPr>
          <w:rFonts w:cs="Times New Roman"/>
          <w:b/>
          <w:color w:val="000000"/>
          <w:sz w:val="24"/>
          <w:szCs w:val="24"/>
        </w:rPr>
        <w:t>андарт государственной услуги: «</w:t>
      </w:r>
      <w:r w:rsidRPr="008835DE">
        <w:rPr>
          <w:rFonts w:cs="Times New Roman"/>
          <w:b/>
          <w:color w:val="000000"/>
          <w:sz w:val="24"/>
          <w:szCs w:val="24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</w:t>
      </w:r>
      <w:r>
        <w:rPr>
          <w:rFonts w:cs="Times New Roman"/>
          <w:b/>
          <w:color w:val="000000"/>
          <w:sz w:val="24"/>
          <w:szCs w:val="24"/>
        </w:rPr>
        <w:t>бщего среднего образования»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2003"/>
        <w:gridCol w:w="8292"/>
      </w:tblGrid>
      <w:tr w:rsidR="00E530F5" w:rsidRPr="008835DE" w:rsidTr="00CE57D7">
        <w:trPr>
          <w:trHeight w:val="30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2"/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82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услугодатель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530F5" w:rsidRPr="008835DE" w:rsidTr="00CE57D7">
        <w:trPr>
          <w:trHeight w:val="30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82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bookmarkStart w:id="3" w:name="z42"/>
            <w:r w:rsidRPr="008835DE">
              <w:rPr>
                <w:rFonts w:cs="Times New Roman"/>
                <w:color w:val="000000"/>
                <w:sz w:val="24"/>
                <w:szCs w:val="24"/>
              </w:rPr>
              <w:t>1) веб-портал "электронного правительства" www.egov.kz (далее – портал);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bookmarkEnd w:id="3"/>
      </w:tr>
      <w:tr w:rsidR="00E530F5" w:rsidRPr="008835DE" w:rsidTr="00CE57D7">
        <w:trPr>
          <w:trHeight w:val="30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82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bookmarkStart w:id="4" w:name="z43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С момента сдачи пакета документов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, а также при обращении через портал – один рабочий день. Для зачисления в организацию образования начального, основного среднего, общего среднего образования на очную и вечернюю форму обучения – не позднее 20 августа календарного года. 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>Для 1 классов до 1 августа календарного года, для 10-х классов до 15 августа календарного года.</w:t>
            </w:r>
          </w:p>
        </w:tc>
        <w:bookmarkEnd w:id="4"/>
      </w:tr>
      <w:tr w:rsidR="00E530F5" w:rsidRPr="008835DE" w:rsidTr="00CE57D7">
        <w:trPr>
          <w:trHeight w:val="30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82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Электронная (частично автоматизированная) /бумажная</w:t>
            </w:r>
          </w:p>
        </w:tc>
      </w:tr>
      <w:tr w:rsidR="00E530F5" w:rsidRPr="008835DE" w:rsidTr="00CE57D7">
        <w:trPr>
          <w:trHeight w:val="30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82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bookmarkStart w:id="5" w:name="z44"/>
            <w:r w:rsidRPr="008835DE">
              <w:rPr>
                <w:rFonts w:cs="Times New Roman"/>
                <w:color w:val="000000"/>
                <w:sz w:val="24"/>
                <w:szCs w:val="24"/>
              </w:rPr>
              <w:t>При обращении через портал: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в личный кабинет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приходит уведомление о принятии и зачислении в организацию среднего образования с 1 сентября текущего года, при подачи неполного пакета документов – о мотивированном отк</w:t>
            </w:r>
            <w:r>
              <w:rPr>
                <w:rFonts w:cs="Times New Roman"/>
                <w:color w:val="000000"/>
                <w:sz w:val="24"/>
                <w:szCs w:val="24"/>
              </w:rPr>
              <w:t>азе с указанием причины отказа.</w:t>
            </w:r>
          </w:p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Услугодатель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в уведомлении указывает о зачислении с 1 сентября текущего года первым троим подавшим заявление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услугополучателям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При обращении через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бумажно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) – выдача уведомления о приеме и зачислении в организацию среднего образования с 1 сентября текущего года, </w:t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lastRenderedPageBreak/>
              <w:t>при подаче неполного пакета документов - о мотивированном отказе с указанием причины отказа.</w:t>
            </w:r>
          </w:p>
        </w:tc>
        <w:bookmarkEnd w:id="5"/>
      </w:tr>
      <w:tr w:rsidR="00E530F5" w:rsidRPr="008835DE" w:rsidTr="00CE57D7">
        <w:trPr>
          <w:trHeight w:val="30"/>
        </w:trPr>
        <w:tc>
          <w:tcPr>
            <w:tcW w:w="3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02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Размер оплаты, взимаемой с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</w:tr>
      <w:tr w:rsidR="00E530F5" w:rsidRPr="008835DE" w:rsidTr="00CE57D7">
        <w:trPr>
          <w:trHeight w:val="30"/>
        </w:trPr>
        <w:tc>
          <w:tcPr>
            <w:tcW w:w="35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E530F5" w:rsidRPr="008835DE" w:rsidTr="00CE57D7">
        <w:trPr>
          <w:trHeight w:val="30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График работы</w:t>
            </w:r>
          </w:p>
        </w:tc>
        <w:tc>
          <w:tcPr>
            <w:tcW w:w="82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bookmarkStart w:id="6" w:name="z47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1)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Адреса мест оказания государственной услуги размещены на: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интернет-ресурсе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2) портале www.egov.kz.</w:t>
            </w:r>
          </w:p>
        </w:tc>
        <w:bookmarkEnd w:id="6"/>
      </w:tr>
      <w:tr w:rsidR="00E530F5" w:rsidRPr="008835DE" w:rsidTr="00CE57D7">
        <w:trPr>
          <w:trHeight w:val="30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2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bookmarkStart w:id="7" w:name="z51"/>
            <w:r w:rsidRPr="008835DE">
              <w:rPr>
                <w:rFonts w:cs="Times New Roman"/>
                <w:color w:val="000000"/>
                <w:sz w:val="24"/>
                <w:szCs w:val="24"/>
              </w:rPr>
              <w:t>- на портал: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1) заявление родителей или иных законных представителей согласно форме приложения 1;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2) медицинские справки формы № 065/у о состоянии здоровья, утвержденной приказом исполняющего обязанности Министра здравоохранения Республики Казахстан от 30 октября 2020 года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3) цифровая фотография ребенка размером 3х4 см.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- к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бумажно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>):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1) заявление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заявление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родителей или иных законных представителей согласно форме приложения 1;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2) документ, удостоверяющий личность (оригинал требуется для идентификации, который возвращается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услугополучателю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>),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4) фотографии ребенка размером 3х4 см в количестве 2 штук.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Услугополучатели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>-иностранцы и лица без гражданства предоставляют один из следующих документов, определяющих их статус, с отметкой о регистрации по месту проживания: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1) иностранец - вид на жительство иностранца в Республике Казахстан;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lastRenderedPageBreak/>
              <w:t>2) лицо без гражданства - удостоверение лица без гражданства;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3) беженец - удостоверение беженца;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4) лицо, ищущее убежище - свидетельство лица, ищущего убежище;</w:t>
            </w:r>
          </w:p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кандас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- удостоверение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кандаса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При обращении через портал сведения о документе, удостоверяющего личность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, свидетельство о рождении ребенка (паспорт,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удоств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личности ), адресную справку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услугодатель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065/у и 026/у-3,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услугополучателями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  <w:bookmarkEnd w:id="7"/>
      </w:tr>
      <w:tr w:rsidR="00E530F5" w:rsidRPr="008835DE" w:rsidTr="00CE57D7">
        <w:trPr>
          <w:trHeight w:val="30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2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bookmarkStart w:id="8" w:name="z67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1) установление недостоверности документов, представленных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услугополучателем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2) несоответствие представленных документов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>3) переполненность класс-комплектов.</w:t>
            </w:r>
          </w:p>
        </w:tc>
        <w:bookmarkEnd w:id="8"/>
      </w:tr>
      <w:tr w:rsidR="00E530F5" w:rsidRPr="008835DE" w:rsidTr="00CE57D7">
        <w:trPr>
          <w:trHeight w:val="30"/>
        </w:trPr>
        <w:tc>
          <w:tcPr>
            <w:tcW w:w="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2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0F5" w:rsidRDefault="00E530F5" w:rsidP="00CE57D7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bookmarkStart w:id="9" w:name="z69"/>
            <w:r w:rsidRPr="008835DE">
              <w:rPr>
                <w:rFonts w:cs="Times New Roman"/>
                <w:color w:val="000000"/>
                <w:sz w:val="24"/>
                <w:szCs w:val="24"/>
              </w:rPr>
              <w:t>1) максимально допустимое время ожидания для сдачи пакета документов – 15 минут;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2) максимально допустимое время обслуживания – 15 минут.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Услугополучатель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</w:t>
            </w:r>
            <w:proofErr w:type="gramStart"/>
            <w:r w:rsidRPr="008835DE">
              <w:rPr>
                <w:rFonts w:cs="Times New Roman"/>
                <w:color w:val="000000"/>
                <w:sz w:val="24"/>
                <w:szCs w:val="24"/>
              </w:rPr>
              <w:t>).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Услугополучатель</w:t>
            </w:r>
            <w:proofErr w:type="spellEnd"/>
            <w:proofErr w:type="gram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8835DE">
              <w:rPr>
                <w:rFonts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8835DE">
              <w:rPr>
                <w:rFonts w:cs="Times New Roman"/>
                <w:color w:val="000000"/>
                <w:sz w:val="24"/>
                <w:szCs w:val="24"/>
              </w:rPr>
              <w:t>, а также Единого контакт-центра "1414", 8-800-080-7777.</w:t>
            </w:r>
          </w:p>
          <w:p w:rsidR="00E530F5" w:rsidRPr="008835DE" w:rsidRDefault="00E530F5" w:rsidP="00CE57D7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Условия получения услуги третьими </w:t>
            </w:r>
            <w:proofErr w:type="gramStart"/>
            <w:r w:rsidRPr="008835DE">
              <w:rPr>
                <w:rFonts w:cs="Times New Roman"/>
                <w:color w:val="000000"/>
                <w:sz w:val="24"/>
                <w:szCs w:val="24"/>
              </w:rPr>
              <w:t>лицами:</w:t>
            </w:r>
            <w:r w:rsidRPr="008835DE">
              <w:rPr>
                <w:rFonts w:cs="Times New Roman"/>
                <w:sz w:val="24"/>
                <w:szCs w:val="24"/>
              </w:rPr>
              <w:br/>
            </w:r>
            <w:r w:rsidRPr="008835DE">
              <w:rPr>
                <w:rFonts w:cs="Times New Roman"/>
                <w:color w:val="000000"/>
                <w:sz w:val="24"/>
                <w:szCs w:val="24"/>
              </w:rPr>
              <w:t>Электронный</w:t>
            </w:r>
            <w:proofErr w:type="gramEnd"/>
            <w:r w:rsidRPr="008835DE">
              <w:rPr>
                <w:rFonts w:cs="Times New Roman"/>
                <w:color w:val="000000"/>
                <w:sz w:val="24"/>
                <w:szCs w:val="24"/>
              </w:rPr>
              <w:t xml:space="preserve">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  <w:bookmarkEnd w:id="9"/>
      </w:tr>
    </w:tbl>
    <w:p w:rsidR="00E530F5" w:rsidRDefault="00E530F5" w:rsidP="00E530F5">
      <w:pPr>
        <w:rPr>
          <w:rFonts w:cs="Times New Roman"/>
          <w:sz w:val="24"/>
          <w:szCs w:val="24"/>
        </w:rPr>
      </w:pPr>
    </w:p>
    <w:p w:rsidR="00E530F5" w:rsidRDefault="00E530F5" w:rsidP="00E530F5">
      <w:pPr>
        <w:rPr>
          <w:rFonts w:cs="Times New Roman"/>
          <w:sz w:val="24"/>
          <w:szCs w:val="24"/>
        </w:rPr>
      </w:pPr>
    </w:p>
    <w:p w:rsidR="00E530F5" w:rsidRDefault="00E530F5" w:rsidP="00E530F5">
      <w:pPr>
        <w:rPr>
          <w:rFonts w:cs="Times New Roman"/>
          <w:sz w:val="24"/>
          <w:szCs w:val="24"/>
        </w:rPr>
      </w:pPr>
    </w:p>
    <w:p w:rsidR="00E530F5" w:rsidRDefault="00E530F5" w:rsidP="00E530F5">
      <w:pPr>
        <w:rPr>
          <w:rFonts w:cs="Times New Roman"/>
          <w:sz w:val="24"/>
          <w:szCs w:val="24"/>
        </w:rPr>
      </w:pPr>
    </w:p>
    <w:p w:rsidR="00E530F5" w:rsidRDefault="00E530F5" w:rsidP="00E530F5">
      <w:pPr>
        <w:rPr>
          <w:rFonts w:cs="Times New Roman"/>
          <w:sz w:val="24"/>
          <w:szCs w:val="24"/>
        </w:rPr>
      </w:pPr>
    </w:p>
    <w:p w:rsidR="00E530F5" w:rsidRDefault="00E530F5" w:rsidP="00E530F5">
      <w:pPr>
        <w:rPr>
          <w:rFonts w:cs="Times New Roman"/>
          <w:sz w:val="24"/>
          <w:szCs w:val="24"/>
        </w:rPr>
      </w:pPr>
    </w:p>
    <w:p w:rsidR="00E530F5" w:rsidRDefault="00E530F5" w:rsidP="00E530F5">
      <w:pPr>
        <w:rPr>
          <w:rFonts w:cs="Times New Roman"/>
          <w:sz w:val="24"/>
          <w:szCs w:val="24"/>
        </w:rPr>
      </w:pPr>
    </w:p>
    <w:p w:rsidR="00E530F5" w:rsidRPr="00586F77" w:rsidRDefault="00E530F5">
      <w:pPr>
        <w:rPr>
          <w:rFonts w:cs="Times New Roman"/>
          <w:sz w:val="24"/>
          <w:szCs w:val="24"/>
        </w:rPr>
      </w:pPr>
    </w:p>
    <w:sectPr w:rsidR="00E530F5" w:rsidRPr="00586F77" w:rsidSect="001825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C4"/>
    <w:rsid w:val="00086157"/>
    <w:rsid w:val="001825E3"/>
    <w:rsid w:val="0022720E"/>
    <w:rsid w:val="0049465B"/>
    <w:rsid w:val="00586F77"/>
    <w:rsid w:val="00883311"/>
    <w:rsid w:val="008835DE"/>
    <w:rsid w:val="008A22A6"/>
    <w:rsid w:val="00A364E8"/>
    <w:rsid w:val="00B31F41"/>
    <w:rsid w:val="00D26BC4"/>
    <w:rsid w:val="00DC0704"/>
    <w:rsid w:val="00E530F5"/>
    <w:rsid w:val="00F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6C5A4-BD0E-4674-B311-57B8934E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5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4E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8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cp:lastPrinted>2022-02-22T07:07:00Z</cp:lastPrinted>
  <dcterms:created xsi:type="dcterms:W3CDTF">2022-02-21T15:10:00Z</dcterms:created>
  <dcterms:modified xsi:type="dcterms:W3CDTF">2022-03-01T21:37:00Z</dcterms:modified>
</cp:coreProperties>
</file>