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91" w:rsidRPr="00C10F91" w:rsidRDefault="00C10F91" w:rsidP="00C10F9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1</w:t>
      </w:r>
    </w:p>
    <w:p w:rsidR="00DC2933" w:rsidRPr="00C10F91" w:rsidRDefault="00DC2933" w:rsidP="00DC29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Қарағанды</w:t>
      </w:r>
      <w:proofErr w:type="spellEnd"/>
      <w:r w:rsidRPr="00C10F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облысы</w:t>
      </w:r>
      <w:proofErr w:type="spellEnd"/>
      <w:r w:rsidRPr="00C10F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Pr="00C10F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қызметкерлерінің</w:t>
      </w:r>
      <w:proofErr w:type="spellEnd"/>
      <w:r w:rsidRPr="00C10F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DC2933" w:rsidRPr="00C10F91" w:rsidRDefault="00DC2933" w:rsidP="00DC29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ғылыми</w:t>
      </w:r>
      <w:proofErr w:type="spellEnd"/>
      <w:r w:rsidRPr="00C10F91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C10F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конференциясының</w:t>
      </w:r>
      <w:proofErr w:type="spellEnd"/>
      <w:r w:rsidRPr="00C10F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ережесі</w:t>
      </w:r>
      <w:proofErr w:type="spellEnd"/>
    </w:p>
    <w:p w:rsidR="00DC2933" w:rsidRDefault="00DC2933" w:rsidP="00DC2933">
      <w:pPr>
        <w:tabs>
          <w:tab w:val="left" w:pos="742"/>
          <w:tab w:val="left" w:pos="1881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93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Бі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ім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ұйымдарында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жобалық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жұмыстар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:rsidR="00DC2933" w:rsidRPr="00DC2933" w:rsidRDefault="00DC2933" w:rsidP="00DC2933">
      <w:pPr>
        <w:tabs>
          <w:tab w:val="left" w:pos="742"/>
          <w:tab w:val="left" w:pos="1881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Тәжірибе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проблемалар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болашағы</w:t>
      </w:r>
      <w:proofErr w:type="spellEnd"/>
      <w:r w:rsidRPr="00DC2933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DC2933" w:rsidRDefault="00DC2933" w:rsidP="00DC2933">
      <w:pPr>
        <w:tabs>
          <w:tab w:val="left" w:pos="742"/>
          <w:tab w:val="left" w:pos="1881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93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ереже</w:t>
      </w:r>
      <w:proofErr w:type="spellEnd"/>
    </w:p>
    <w:p w:rsidR="00DC2933" w:rsidRDefault="00DC2933" w:rsidP="00DC2933">
      <w:pPr>
        <w:tabs>
          <w:tab w:val="left" w:pos="742"/>
          <w:tab w:val="left" w:pos="1881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93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Ғылыми-тәжірибелік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конференция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дамытудың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орталығының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2014-2015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C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жоспарына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педагогтердің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қорытындылаудың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933" w:rsidRDefault="00DC2933" w:rsidP="00DC2933">
      <w:pPr>
        <w:tabs>
          <w:tab w:val="left" w:pos="742"/>
          <w:tab w:val="left" w:pos="1881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93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Конференцияның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індеттері</w:t>
      </w:r>
      <w:proofErr w:type="spellEnd"/>
    </w:p>
    <w:p w:rsidR="00DC2933" w:rsidRPr="00331907" w:rsidRDefault="00DC2933" w:rsidP="003319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1907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Ғылыми-тәжірибелік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конференцияның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мектептерге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1907">
        <w:rPr>
          <w:rFonts w:ascii="Times New Roman" w:hAnsi="Times New Roman" w:cs="Times New Roman"/>
          <w:sz w:val="24"/>
          <w:szCs w:val="24"/>
        </w:rPr>
        <w:t>асыруда</w:t>
      </w:r>
      <w:proofErr w:type="spellEnd"/>
      <w:proofErr w:type="gram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.</w:t>
      </w:r>
    </w:p>
    <w:p w:rsidR="00DC2933" w:rsidRPr="00331907" w:rsidRDefault="00DC2933" w:rsidP="003319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1907">
        <w:rPr>
          <w:rFonts w:ascii="Times New Roman" w:hAnsi="Times New Roman" w:cs="Times New Roman"/>
          <w:sz w:val="24"/>
          <w:szCs w:val="24"/>
          <w:lang w:val="en-US"/>
        </w:rPr>
        <w:t xml:space="preserve">2.2.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:</w:t>
      </w:r>
    </w:p>
    <w:p w:rsidR="00DC2933" w:rsidRPr="00331907" w:rsidRDefault="00DC2933" w:rsidP="00331907">
      <w:pPr>
        <w:pStyle w:val="a3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ұйымдастыруда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практиканың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өнімді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1907">
        <w:rPr>
          <w:rFonts w:ascii="Times New Roman" w:hAnsi="Times New Roman" w:cs="Times New Roman"/>
          <w:sz w:val="24"/>
          <w:szCs w:val="24"/>
        </w:rPr>
        <w:t>тә</w:t>
      </w:r>
      <w:r w:rsidR="00331907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331907">
        <w:rPr>
          <w:rFonts w:ascii="Times New Roman" w:hAnsi="Times New Roman" w:cs="Times New Roman"/>
          <w:sz w:val="24"/>
          <w:szCs w:val="24"/>
        </w:rPr>
        <w:t>ірибелерін</w:t>
      </w:r>
      <w:proofErr w:type="spellEnd"/>
      <w:r w:rsid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907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90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907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="0033190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933" w:rsidRPr="00331907" w:rsidRDefault="00DC2933" w:rsidP="00331907">
      <w:pPr>
        <w:pStyle w:val="a3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ұстаздардың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әлеуетін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ынта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ықыласын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ғылым</w:t>
      </w:r>
      <w:proofErr w:type="gramStart"/>
      <w:r w:rsidRPr="0033190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ба</w:t>
      </w:r>
      <w:r w:rsidR="00331907">
        <w:rPr>
          <w:rFonts w:ascii="Times New Roman" w:hAnsi="Times New Roman" w:cs="Times New Roman"/>
          <w:sz w:val="24"/>
          <w:szCs w:val="24"/>
        </w:rPr>
        <w:t>стамаларын</w:t>
      </w:r>
      <w:proofErr w:type="spellEnd"/>
      <w:r w:rsid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907">
        <w:rPr>
          <w:rFonts w:ascii="Times New Roman" w:hAnsi="Times New Roman" w:cs="Times New Roman"/>
          <w:sz w:val="24"/>
          <w:szCs w:val="24"/>
        </w:rPr>
        <w:t>ашуға</w:t>
      </w:r>
      <w:proofErr w:type="spellEnd"/>
      <w:r w:rsid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907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90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="0033190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C2933" w:rsidRPr="00331907" w:rsidRDefault="00DC2933" w:rsidP="003319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педагогтердің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3190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імін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көтеру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үдерісін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.</w:t>
      </w:r>
    </w:p>
    <w:p w:rsidR="00DC2933" w:rsidRDefault="00DC2933" w:rsidP="00DC2933">
      <w:pPr>
        <w:tabs>
          <w:tab w:val="left" w:pos="742"/>
          <w:tab w:val="left" w:pos="1881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Конференция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жұмысының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бағыттары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ұйымдастыруда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тәсілдемелер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;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3190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мекемелерінің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үрдістеріне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мұғалімдердің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жұмыстарының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үрдістеріне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;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жобалы</w:t>
      </w:r>
      <w:proofErr w:type="gramStart"/>
      <w:r w:rsidRPr="00331907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;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оқушыларының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жобалы</w:t>
      </w:r>
      <w:proofErr w:type="gramStart"/>
      <w:r w:rsidRPr="00331907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жұмыстарының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;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бағыттағы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190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әндер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сабақтарында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сабақтан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іс-әрекетте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жобалық-зерттеу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;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жаратылыстану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-математика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бағытындағы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сабақтарда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сабақтан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1907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іс-әрекетте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жобалық-зерттеу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;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орталары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әрекетін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1907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ғыттау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педагогтың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190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әсіби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шеберлігін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факторы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;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1907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ірибелік-педагогикалық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;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рефлексия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мұғ</w:t>
      </w:r>
      <w:proofErr w:type="gramStart"/>
      <w:r w:rsidRPr="00331907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імнің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;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жобалы</w:t>
      </w:r>
      <w:proofErr w:type="gramStart"/>
      <w:r w:rsidRPr="00331907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;</w:t>
      </w:r>
    </w:p>
    <w:p w:rsidR="00DC2933" w:rsidRPr="00331907" w:rsidRDefault="00DC2933" w:rsidP="003319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ақпаратты</w:t>
      </w:r>
      <w:proofErr w:type="gramStart"/>
      <w:r w:rsidRPr="00331907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331907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907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331907">
        <w:rPr>
          <w:rFonts w:ascii="Times New Roman" w:hAnsi="Times New Roman" w:cs="Times New Roman"/>
          <w:sz w:val="24"/>
          <w:szCs w:val="24"/>
        </w:rPr>
        <w:t>.</w:t>
      </w:r>
    </w:p>
    <w:p w:rsidR="00DC2933" w:rsidRDefault="00DC2933" w:rsidP="00DC2933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Конференция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қатысушылар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2933" w:rsidRDefault="00DC2933" w:rsidP="00DC2933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басшылары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әндерінің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педагогтері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тәрбиешілер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ұйымдардан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оқытушылары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қауымдастығы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C2933" w:rsidRDefault="00DC2933" w:rsidP="00DC2933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93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Конференцияның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ұйымдастыру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комитеті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2933" w:rsidRPr="007B4423" w:rsidRDefault="00DC2933" w:rsidP="00DC2933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lastRenderedPageBreak/>
        <w:t xml:space="preserve">5.1. </w:t>
      </w:r>
      <w:proofErr w:type="spellStart"/>
      <w:r>
        <w:rPr>
          <w:rFonts w:ascii="Times New Roman" w:hAnsi="Times New Roman" w:cs="Times New Roman"/>
          <w:sz w:val="24"/>
          <w:szCs w:val="24"/>
        </w:rPr>
        <w:t>Ғылыми-практикалық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конференцияның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дайындығына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өткізілуіне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дамытудың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орталығының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кеңесі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4423">
        <w:rPr>
          <w:rFonts w:ascii="Times New Roman" w:hAnsi="Times New Roman" w:cs="Times New Roman"/>
          <w:b/>
          <w:sz w:val="24"/>
          <w:szCs w:val="24"/>
        </w:rPr>
        <w:t>Ұйымдастыру</w:t>
      </w:r>
      <w:proofErr w:type="spellEnd"/>
      <w:r w:rsidRPr="007B4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4423">
        <w:rPr>
          <w:rFonts w:ascii="Times New Roman" w:hAnsi="Times New Roman" w:cs="Times New Roman"/>
          <w:b/>
          <w:sz w:val="24"/>
          <w:szCs w:val="24"/>
        </w:rPr>
        <w:t>комитетінің</w:t>
      </w:r>
      <w:proofErr w:type="spellEnd"/>
      <w:r w:rsidRPr="007B4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4423">
        <w:rPr>
          <w:rFonts w:ascii="Times New Roman" w:hAnsi="Times New Roman" w:cs="Times New Roman"/>
          <w:b/>
          <w:sz w:val="24"/>
          <w:szCs w:val="24"/>
        </w:rPr>
        <w:t>құрамы</w:t>
      </w:r>
      <w:proofErr w:type="spellEnd"/>
      <w:r w:rsidRPr="007B4423">
        <w:rPr>
          <w:rFonts w:ascii="Times New Roman" w:hAnsi="Times New Roman" w:cs="Times New Roman"/>
          <w:b/>
          <w:sz w:val="24"/>
          <w:szCs w:val="24"/>
        </w:rPr>
        <w:t>:</w:t>
      </w:r>
    </w:p>
    <w:p w:rsidR="00DC2933" w:rsidRDefault="00DC2933" w:rsidP="00DC2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Қожахметова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Г.Ш., ОӘ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директоры –</w:t>
      </w:r>
      <w:r w:rsidRPr="00DC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төраға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Абдикерова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Б.Х., ОӘ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C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төрағаның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933" w:rsidRPr="007B442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4423">
        <w:rPr>
          <w:rFonts w:ascii="Times New Roman" w:hAnsi="Times New Roman" w:cs="Times New Roman"/>
          <w:b/>
          <w:sz w:val="24"/>
          <w:szCs w:val="24"/>
        </w:rPr>
        <w:t>Ұйымдастыру</w:t>
      </w:r>
      <w:proofErr w:type="spellEnd"/>
      <w:r w:rsidRPr="007B4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4423">
        <w:rPr>
          <w:rFonts w:ascii="Times New Roman" w:hAnsi="Times New Roman" w:cs="Times New Roman"/>
          <w:b/>
          <w:sz w:val="24"/>
          <w:szCs w:val="24"/>
        </w:rPr>
        <w:t>комитетінің</w:t>
      </w:r>
      <w:proofErr w:type="spellEnd"/>
      <w:r w:rsidRPr="007B4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B4423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7B4423">
        <w:rPr>
          <w:rFonts w:ascii="Times New Roman" w:hAnsi="Times New Roman" w:cs="Times New Roman"/>
          <w:b/>
          <w:sz w:val="24"/>
          <w:szCs w:val="24"/>
        </w:rPr>
        <w:t>үшелері</w:t>
      </w:r>
      <w:proofErr w:type="spellEnd"/>
      <w:r w:rsidRPr="007B4423">
        <w:rPr>
          <w:rFonts w:ascii="Times New Roman" w:hAnsi="Times New Roman" w:cs="Times New Roman"/>
          <w:b/>
          <w:sz w:val="24"/>
          <w:szCs w:val="24"/>
        </w:rPr>
        <w:t>:</w:t>
      </w:r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Асакаева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Д.С., ОӘ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="00680731">
        <w:rPr>
          <w:rFonts w:ascii="Times New Roman" w:hAnsi="Times New Roman" w:cs="Times New Roman"/>
          <w:sz w:val="24"/>
          <w:szCs w:val="24"/>
        </w:rPr>
        <w:t>,</w:t>
      </w:r>
    </w:p>
    <w:p w:rsidR="00680731" w:rsidRPr="00001046" w:rsidRDefault="00680731" w:rsidP="00680731">
      <w:pPr>
        <w:pStyle w:val="1"/>
        <w:tabs>
          <w:tab w:val="num" w:pos="567"/>
        </w:tabs>
      </w:pPr>
      <w:r>
        <w:t>Сулейменов Р.Х.,</w:t>
      </w:r>
      <w:r w:rsidRPr="00680731">
        <w:t xml:space="preserve"> </w:t>
      </w:r>
      <w:r>
        <w:t>ОӘ</w:t>
      </w:r>
      <w:proofErr w:type="gramStart"/>
      <w:r>
        <w:t>О</w:t>
      </w:r>
      <w:proofErr w:type="gramEnd"/>
      <w:r>
        <w:t xml:space="preserve"> </w:t>
      </w:r>
      <w:proofErr w:type="spellStart"/>
      <w:r>
        <w:t>директордың</w:t>
      </w:r>
      <w:proofErr w:type="spellEnd"/>
      <w:r>
        <w:t xml:space="preserve"> </w:t>
      </w:r>
      <w:proofErr w:type="spellStart"/>
      <w:r>
        <w:t>орынбасары</w:t>
      </w:r>
      <w:proofErr w:type="spellEnd"/>
      <w:r>
        <w:t xml:space="preserve"> , </w:t>
      </w:r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Қонтаев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С.С., ОӘ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кеңесші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меңгеруші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Көпбаева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</w:p>
    <w:p w:rsidR="00680731" w:rsidRDefault="00B55909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Е.Л., </w:t>
      </w:r>
      <w:r>
        <w:rPr>
          <w:rFonts w:ascii="Times New Roman" w:hAnsi="Times New Roman" w:cs="Times New Roman"/>
          <w:sz w:val="24"/>
          <w:szCs w:val="24"/>
          <w:lang w:val="kk-KZ"/>
        </w:rPr>
        <w:t>инновациялық оқыту түрлері және электронды бі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ім беру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="00680731">
        <w:rPr>
          <w:rFonts w:ascii="Times New Roman" w:hAnsi="Times New Roman" w:cs="Times New Roman"/>
          <w:sz w:val="24"/>
          <w:szCs w:val="24"/>
        </w:rPr>
        <w:t>,</w:t>
      </w:r>
    </w:p>
    <w:p w:rsidR="00DC2933" w:rsidRPr="00B55909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Мукашева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әдіскер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Сатжанова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әдіскер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Калинина О.Б.,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әдіскер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Елешева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С.М.,</w:t>
      </w:r>
      <w:proofErr w:type="spellStart"/>
      <w:r>
        <w:rPr>
          <w:rFonts w:ascii="Times New Roman" w:hAnsi="Times New Roman" w:cs="Times New Roman"/>
          <w:sz w:val="24"/>
          <w:szCs w:val="24"/>
        </w:rPr>
        <w:t>әдіскер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комитеті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ғылыми-практикалық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конференцияның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дайындығына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өтуіне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іс-шараның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орындалуын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бақылайды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конференция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нәтижесін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конференция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қорытындысын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насихаттауды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>
        <w:rPr>
          <w:rFonts w:ascii="Times New Roman" w:hAnsi="Times New Roman" w:cs="Times New Roman"/>
          <w:sz w:val="24"/>
          <w:szCs w:val="24"/>
        </w:rPr>
        <w:t>, БАҚ-</w:t>
      </w:r>
      <w:proofErr w:type="spellStart"/>
      <w:r>
        <w:rPr>
          <w:rFonts w:ascii="Times New Roman" w:hAnsi="Times New Roman" w:cs="Times New Roman"/>
          <w:sz w:val="24"/>
          <w:szCs w:val="24"/>
        </w:rPr>
        <w:t>қа</w:t>
      </w:r>
      <w:proofErr w:type="spellEnd"/>
      <w:r>
        <w:rPr>
          <w:rFonts w:ascii="Times New Roman" w:hAnsi="Times New Roman" w:cs="Times New Roman"/>
          <w:sz w:val="24"/>
          <w:szCs w:val="24"/>
        </w:rPr>
        <w:t>, ОӘ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сайтына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933" w:rsidRDefault="00DC2933" w:rsidP="00DC2933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комитеті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ғылымилығын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ізділігін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маңыздылығын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сарапшылар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конференцияға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бекітеді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933" w:rsidRDefault="00DC2933" w:rsidP="00DC2933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Сарапшылар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конференцияға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жұмыстарға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жүргізі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безендіруге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ҒТК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жинағына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іріктейді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конференцияға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қатысушыларды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93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Мақаланы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әсімдеуге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Мәтіннің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А-4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29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DC2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DC2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7B4423">
        <w:rPr>
          <w:rFonts w:ascii="Times New Roman" w:hAnsi="Times New Roman" w:cs="Times New Roman"/>
          <w:sz w:val="24"/>
          <w:szCs w:val="24"/>
        </w:rPr>
        <w:t xml:space="preserve">», </w:t>
      </w:r>
      <w:r w:rsidRPr="00DC2933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DC2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DC2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DC2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DC293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редакторларында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шрифтімен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терілі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1(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жоларалық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интервалымен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см. </w:t>
      </w:r>
    </w:p>
    <w:p w:rsidR="00DC2933" w:rsidRDefault="00DC2933" w:rsidP="00DC2933">
      <w:pPr>
        <w:tabs>
          <w:tab w:val="left" w:pos="1070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933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Автордың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аты-жөні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KZ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шрифтісімен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курсив, 14 кегль),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бетінің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жоғарғы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жақ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ұрышына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орналастыру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қажет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үлгіге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қараңыз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C2933" w:rsidRDefault="00DC2933" w:rsidP="00DC2933">
      <w:pPr>
        <w:tabs>
          <w:tab w:val="left" w:pos="1070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933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Мақала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KZ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шрифтісімен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қою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ә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іптермен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14 кегль,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жазу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әріптерімен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–</w:t>
      </w:r>
      <w:r w:rsidRPr="00DC2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бетінің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ортасында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үлгіге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қараңыз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болу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2933" w:rsidRDefault="00DC2933" w:rsidP="00DC2933">
      <w:pPr>
        <w:tabs>
          <w:tab w:val="left" w:pos="1070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9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мәтін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(14 кегль)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шрифтісімен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жоларалық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интервалмен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орындалады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үлгіге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қараңыз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мәтіннің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қызыл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жолағы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 см,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көлденеңінен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тегістеледі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мәтін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тасымалы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автоматты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түрде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жасалады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нөмірленбейді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DC2933" w:rsidRP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6.5.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Әдебиеттер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тізімі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мәтіннен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29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(Times New Roman, </w:t>
      </w:r>
      <w:r w:rsidRPr="00DC2933">
        <w:rPr>
          <w:rFonts w:ascii="Times New Roman" w:hAnsi="Times New Roman" w:cs="Times New Roman"/>
          <w:sz w:val="24"/>
          <w:szCs w:val="24"/>
          <w:lang w:val="en-US"/>
        </w:rPr>
        <w:t>KZ Times New Roman</w:t>
      </w:r>
      <w:r w:rsidRPr="00DC29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шрифтісімен</w:t>
      </w:r>
      <w:proofErr w:type="spellEnd"/>
      <w:r w:rsidRPr="00DC29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</w:t>
      </w:r>
      <w:r>
        <w:rPr>
          <w:rFonts w:ascii="Times New Roman" w:hAnsi="Times New Roman" w:cs="Times New Roman"/>
          <w:color w:val="000000"/>
          <w:sz w:val="24"/>
          <w:szCs w:val="24"/>
        </w:rPr>
        <w:t>кегль</w:t>
      </w:r>
      <w:r w:rsidRPr="00DC2933">
        <w:rPr>
          <w:rFonts w:ascii="Times New Roman" w:hAnsi="Times New Roman" w:cs="Times New Roman"/>
          <w:color w:val="000000"/>
          <w:sz w:val="24"/>
          <w:szCs w:val="24"/>
          <w:lang w:val="en-US"/>
        </w:rPr>
        <w:t>) 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үлгіге</w:t>
      </w:r>
      <w:proofErr w:type="spellEnd"/>
      <w:proofErr w:type="gramEnd"/>
      <w:r w:rsidRPr="00DC29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қараңыз</w:t>
      </w:r>
      <w:proofErr w:type="spellEnd"/>
      <w:r w:rsidRPr="00DC29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</w:p>
    <w:p w:rsidR="00DC2933" w:rsidRP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6.6.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Әдебиетке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сілтемелер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мәтінінде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шаршы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жақшаларда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тізімі</w:t>
      </w:r>
      <w:proofErr w:type="gramStart"/>
      <w:r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Segoe UI Symbol" w:hAnsi="Segoe UI Symbol" w:cs="Segoe UI Symbol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>әне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бет</w:t>
      </w:r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Segoe UI Symbol" w:hAnsi="Segoe UI Symbol" w:cs="Segoe UI Symbol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жазылады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DC2933" w:rsidRP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6.7.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*.</w:t>
      </w:r>
      <w:proofErr w:type="gramStart"/>
      <w:r w:rsidRPr="00DC2933">
        <w:rPr>
          <w:rFonts w:ascii="Times New Roman" w:hAnsi="Times New Roman" w:cs="Times New Roman"/>
          <w:sz w:val="24"/>
          <w:szCs w:val="24"/>
          <w:lang w:val="en-US"/>
        </w:rPr>
        <w:t>bmp ,</w:t>
      </w:r>
      <w:proofErr w:type="gramEnd"/>
      <w:r w:rsidRPr="00DC2933">
        <w:rPr>
          <w:rFonts w:ascii="Times New Roman" w:hAnsi="Times New Roman" w:cs="Times New Roman"/>
          <w:sz w:val="24"/>
          <w:szCs w:val="24"/>
          <w:lang w:val="en-US"/>
        </w:rPr>
        <w:t>*.</w:t>
      </w:r>
      <w:proofErr w:type="spellStart"/>
      <w:r w:rsidRPr="00DC2933">
        <w:rPr>
          <w:rFonts w:ascii="Times New Roman" w:hAnsi="Times New Roman" w:cs="Times New Roman"/>
          <w:sz w:val="24"/>
          <w:szCs w:val="24"/>
          <w:lang w:val="en-US"/>
        </w:rPr>
        <w:t>tif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>, *.jpg, *.</w:t>
      </w:r>
      <w:proofErr w:type="spellStart"/>
      <w:r w:rsidRPr="00DC2933">
        <w:rPr>
          <w:rFonts w:ascii="Times New Roman" w:hAnsi="Times New Roman" w:cs="Times New Roman"/>
          <w:sz w:val="24"/>
          <w:szCs w:val="24"/>
          <w:lang w:val="en-US"/>
        </w:rPr>
        <w:t>wmf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форматтарында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Microsoft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редакторында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түсте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орналастырылады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Суреттердің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жазуы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шрифтімен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курсивпен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суреттің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төменгі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ортасында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C29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2933" w:rsidRPr="00680731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6.8.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Кестелер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Word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Microsoft Excel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кестелер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редакторларында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орындалып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, Microsoft Word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құжатына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орналастырылады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жазулары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шрифтімен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курсивпен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кестенің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ортасында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орналасуы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6807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6.9.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Формулалар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редакторында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Мақаланы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бағалау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критерийлері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C2933" w:rsidRPr="007B4423" w:rsidRDefault="00DC2933" w:rsidP="007B44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442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7B4423">
        <w:rPr>
          <w:rFonts w:ascii="Times New Roman" w:hAnsi="Times New Roman" w:cs="Times New Roman"/>
          <w:sz w:val="24"/>
          <w:szCs w:val="24"/>
        </w:rPr>
        <w:t>ұмыстың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423">
        <w:rPr>
          <w:rFonts w:ascii="Times New Roman" w:hAnsi="Times New Roman" w:cs="Times New Roman"/>
          <w:sz w:val="24"/>
          <w:szCs w:val="24"/>
        </w:rPr>
        <w:t>өзектілігі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>;</w:t>
      </w:r>
    </w:p>
    <w:p w:rsidR="00DC2933" w:rsidRPr="007B4423" w:rsidRDefault="00DC2933" w:rsidP="007B44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4423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423">
        <w:rPr>
          <w:rFonts w:ascii="Times New Roman" w:hAnsi="Times New Roman" w:cs="Times New Roman"/>
          <w:sz w:val="24"/>
          <w:szCs w:val="24"/>
        </w:rPr>
        <w:t>мазмұнының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 xml:space="preserve"> конференция </w:t>
      </w:r>
      <w:proofErr w:type="spellStart"/>
      <w:r w:rsidRPr="007B4423">
        <w:rPr>
          <w:rFonts w:ascii="Times New Roman" w:hAnsi="Times New Roman" w:cs="Times New Roman"/>
          <w:sz w:val="24"/>
          <w:szCs w:val="24"/>
        </w:rPr>
        <w:t>тақырыбына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423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>;</w:t>
      </w:r>
    </w:p>
    <w:p w:rsidR="00DC2933" w:rsidRPr="007B4423" w:rsidRDefault="00DC2933" w:rsidP="007B44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4423">
        <w:rPr>
          <w:rFonts w:ascii="Times New Roman" w:hAnsi="Times New Roman" w:cs="Times New Roman"/>
          <w:sz w:val="24"/>
          <w:szCs w:val="24"/>
        </w:rPr>
        <w:t>зерттеушілік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423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>;</w:t>
      </w:r>
    </w:p>
    <w:p w:rsidR="00DC2933" w:rsidRPr="007B4423" w:rsidRDefault="00DC2933" w:rsidP="007B44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4423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423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>;</w:t>
      </w:r>
    </w:p>
    <w:p w:rsidR="00DC2933" w:rsidRPr="007B4423" w:rsidRDefault="00DC2933" w:rsidP="007B44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4423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423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423">
        <w:rPr>
          <w:rFonts w:ascii="Times New Roman" w:hAnsi="Times New Roman" w:cs="Times New Roman"/>
          <w:sz w:val="24"/>
          <w:szCs w:val="24"/>
        </w:rPr>
        <w:t>ашылуы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>;</w:t>
      </w:r>
    </w:p>
    <w:p w:rsidR="00DC2933" w:rsidRPr="007B4423" w:rsidRDefault="00DC2933" w:rsidP="007B44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4423">
        <w:rPr>
          <w:rFonts w:ascii="Times New Roman" w:hAnsi="Times New Roman" w:cs="Times New Roman"/>
          <w:sz w:val="24"/>
          <w:szCs w:val="24"/>
        </w:rPr>
        <w:t>мазмұндау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423">
        <w:rPr>
          <w:rFonts w:ascii="Times New Roman" w:hAnsi="Times New Roman" w:cs="Times New Roman"/>
          <w:sz w:val="24"/>
          <w:szCs w:val="24"/>
        </w:rPr>
        <w:t>стил</w:t>
      </w:r>
      <w:proofErr w:type="gramEnd"/>
      <w:r w:rsidRPr="007B442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>;</w:t>
      </w:r>
    </w:p>
    <w:p w:rsidR="00DC2933" w:rsidRPr="007B4423" w:rsidRDefault="00DC2933" w:rsidP="007B44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4423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423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7B4423">
        <w:rPr>
          <w:rFonts w:ascii="Times New Roman" w:hAnsi="Times New Roman" w:cs="Times New Roman"/>
          <w:sz w:val="24"/>
          <w:szCs w:val="24"/>
        </w:rPr>
        <w:t>.</w:t>
      </w:r>
    </w:p>
    <w:p w:rsidR="00DC2933" w:rsidRDefault="00DC2933" w:rsidP="00DC2933">
      <w:pPr>
        <w:tabs>
          <w:tab w:val="left" w:pos="0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екеуден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Талапқа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келмейтін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</w:t>
      </w:r>
      <w:proofErr w:type="gramEnd"/>
      <w:r>
        <w:rPr>
          <w:rFonts w:ascii="Times New Roman" w:hAnsi="Times New Roman" w:cs="Times New Roman"/>
          <w:sz w:val="24"/>
          <w:szCs w:val="24"/>
        </w:rPr>
        <w:t>ңалығы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sz w:val="24"/>
          <w:szCs w:val="24"/>
          <w:lang w:val="kk-KZ"/>
        </w:rPr>
        <w:t>қаралмайды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933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Конференцияны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шарттары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қорытындысы</w:t>
      </w:r>
      <w:proofErr w:type="spellEnd"/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ҒПК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сырттай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мәтіні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конференцияға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өтінімімен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npk-2015@mail.ru</w:t>
        </w:r>
      </w:hyperlink>
      <w:r w:rsidRPr="00DC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поштасына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8.2.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шектеусіз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комитеті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ережеге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қарастырады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қатысушының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поштасына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ҒПК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растау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жіберіледі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8.3.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npk-2015@mail.ru</w:t>
        </w:r>
      </w:hyperlink>
      <w:r w:rsidRPr="00DC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поштасына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папкасын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жібереді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Папканың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мәтіні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ТАӘ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көлемінде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өңдеуге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төлемдерін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түбіртек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қамтылады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өлем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көшірмес</w:t>
      </w:r>
      <w:proofErr w:type="gramStart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ӘО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бөлімінен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8.4.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="001C3EBC">
        <w:rPr>
          <w:rFonts w:ascii="Times New Roman" w:hAnsi="Times New Roman" w:cs="Times New Roman"/>
          <w:sz w:val="24"/>
          <w:szCs w:val="24"/>
        </w:rPr>
        <w:t xml:space="preserve"> 10 а</w:t>
      </w:r>
      <w:r w:rsidR="001C3EBC">
        <w:rPr>
          <w:rFonts w:ascii="Times New Roman" w:hAnsi="Times New Roman" w:cs="Times New Roman"/>
          <w:sz w:val="24"/>
          <w:szCs w:val="24"/>
          <w:lang w:val="kk-KZ"/>
        </w:rPr>
        <w:t>қпанына де</w:t>
      </w:r>
      <w:proofErr w:type="spellStart"/>
      <w:r>
        <w:rPr>
          <w:rFonts w:ascii="Times New Roman" w:hAnsi="Times New Roman" w:cs="Times New Roman"/>
          <w:sz w:val="24"/>
          <w:szCs w:val="24"/>
        </w:rPr>
        <w:t>йін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Төлемдерді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ББД ОӘ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бөлімінде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lastRenderedPageBreak/>
        <w:t xml:space="preserve">8.5.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Өтіні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OfficeWord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форматында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толтырылады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әкесінің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орны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Атқаратын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Басылым</w:t>
      </w:r>
      <w:proofErr w:type="gramEnd"/>
      <w:r>
        <w:rPr>
          <w:rFonts w:ascii="Times New Roman" w:hAnsi="Times New Roman" w:cs="Times New Roman"/>
          <w:sz w:val="24"/>
          <w:szCs w:val="24"/>
        </w:rPr>
        <w:t>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атауы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імдер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телефондары</w:t>
      </w:r>
      <w:proofErr w:type="spellEnd"/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8.6.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кезеңнің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әтижесі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өң</w:t>
      </w:r>
      <w:r w:rsidR="007B4423">
        <w:rPr>
          <w:rFonts w:ascii="Times New Roman" w:hAnsi="Times New Roman" w:cs="Times New Roman"/>
          <w:sz w:val="24"/>
          <w:szCs w:val="24"/>
        </w:rPr>
        <w:t>делгеннен</w:t>
      </w:r>
      <w:proofErr w:type="spellEnd"/>
      <w:r w:rsidR="007B4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423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Конференция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қатысушысына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мақалалар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жинағын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сертификатты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форматында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жібереді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ҒПК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қатысушысына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сертификат 30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наурызға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жіберіледі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8.7. </w:t>
      </w:r>
      <w:r>
        <w:rPr>
          <w:rFonts w:ascii="Times New Roman" w:hAnsi="Times New Roman" w:cs="Times New Roman"/>
          <w:sz w:val="24"/>
          <w:szCs w:val="24"/>
        </w:rPr>
        <w:t xml:space="preserve">ҒПК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пленарлық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мәжіліс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дөңгелек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үстелдер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алаңдарда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отырыстары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өткізілуі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жоспарлануда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933" w:rsidRDefault="00DC2933" w:rsidP="00DC2933">
      <w:pPr>
        <w:tabs>
          <w:tab w:val="left" w:pos="567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sz w:val="24"/>
          <w:szCs w:val="24"/>
        </w:rPr>
        <w:t xml:space="preserve">8.8.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Жинақтың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басылып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нұ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қ</w:t>
      </w:r>
      <w:proofErr w:type="gramStart"/>
      <w:r>
        <w:rPr>
          <w:rFonts w:ascii="Times New Roman" w:hAnsi="Times New Roman" w:cs="Times New Roman"/>
          <w:sz w:val="24"/>
          <w:szCs w:val="24"/>
        </w:rPr>
        <w:t>асы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ҒПК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қ</w:t>
      </w:r>
      <w:r w:rsidR="007B4423">
        <w:rPr>
          <w:rFonts w:ascii="Times New Roman" w:hAnsi="Times New Roman" w:cs="Times New Roman"/>
          <w:sz w:val="24"/>
          <w:szCs w:val="24"/>
        </w:rPr>
        <w:t>орытындысы</w:t>
      </w:r>
      <w:proofErr w:type="spellEnd"/>
      <w:r w:rsidR="007B4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42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кезеңге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эксперттік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топталған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жинағын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</w:t>
      </w:r>
      <w:r w:rsidR="007B4423">
        <w:rPr>
          <w:rFonts w:ascii="Times New Roman" w:hAnsi="Times New Roman" w:cs="Times New Roman"/>
          <w:sz w:val="24"/>
          <w:szCs w:val="24"/>
        </w:rPr>
        <w:t>амтиды</w:t>
      </w:r>
      <w:proofErr w:type="spellEnd"/>
      <w:r w:rsidR="007B44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Басылып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нұсқасын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</w:t>
      </w:r>
      <w:proofErr w:type="gramStart"/>
      <w:r>
        <w:rPr>
          <w:rFonts w:ascii="Times New Roman" w:hAnsi="Times New Roman" w:cs="Times New Roman"/>
          <w:sz w:val="24"/>
          <w:szCs w:val="24"/>
        </w:rPr>
        <w:t>осымша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етілмейді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933" w:rsidRDefault="00DC2933" w:rsidP="00DC2933">
      <w:pPr>
        <w:tabs>
          <w:tab w:val="left" w:pos="255"/>
          <w:tab w:val="left" w:pos="709"/>
          <w:tab w:val="left" w:pos="786"/>
        </w:tabs>
        <w:suppressAutoHyphens/>
        <w:autoSpaceDE w:val="0"/>
        <w:autoSpaceDN w:val="0"/>
        <w:adjustRightInd w:val="0"/>
        <w:spacing w:before="240" w:after="0" w:line="240" w:lineRule="auto"/>
        <w:ind w:firstLine="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Өтінішті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мақала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мәтіні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түбіртек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көшірмесін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конференцияның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редакциялық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алқасына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npk-2015@mail.ru</w:t>
        </w:r>
      </w:hyperlink>
      <w:r w:rsidRPr="00DC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жіберіңіздер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933" w:rsidRDefault="00DC2933" w:rsidP="00DC29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Байланыс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телефондары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2933" w:rsidRDefault="00DC2933" w:rsidP="00DC29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33">
        <w:rPr>
          <w:rFonts w:ascii="Times New Roman" w:hAnsi="Times New Roman" w:cs="Times New Roman"/>
          <w:b/>
          <w:bCs/>
          <w:sz w:val="24"/>
          <w:szCs w:val="24"/>
        </w:rPr>
        <w:t xml:space="preserve">44-56-30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ҒПК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ұйымдастыру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комитеті</w:t>
      </w:r>
      <w:proofErr w:type="spellEnd"/>
    </w:p>
    <w:p w:rsidR="00DC2933" w:rsidRP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МАҚАЛАНЫ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ӘСІМДЕУ ҮЛГІСІ</w:t>
      </w:r>
    </w:p>
    <w:p w:rsidR="00DC2933" w:rsidRP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933" w:rsidRDefault="00DC2933" w:rsidP="006807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0731">
        <w:rPr>
          <w:rFonts w:ascii="Times New Roman" w:hAnsi="Times New Roman" w:cs="Times New Roman"/>
          <w:b/>
          <w:i/>
          <w:iCs/>
          <w:sz w:val="24"/>
          <w:szCs w:val="24"/>
        </w:rPr>
        <w:t>Воробьева Н. Н</w:t>
      </w:r>
      <w:r>
        <w:rPr>
          <w:rFonts w:ascii="Times New Roman" w:hAnsi="Times New Roman" w:cs="Times New Roman"/>
          <w:i/>
          <w:iCs/>
          <w:sz w:val="24"/>
          <w:szCs w:val="24"/>
        </w:rPr>
        <w:t>.,</w:t>
      </w:r>
    </w:p>
    <w:p w:rsidR="00DC2933" w:rsidRDefault="00DC2933" w:rsidP="006807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2933">
        <w:rPr>
          <w:rFonts w:ascii="Segoe UI Symbol" w:hAnsi="Segoe UI Symbol" w:cs="Segoe UI Symbol"/>
          <w:i/>
          <w:iCs/>
          <w:sz w:val="24"/>
          <w:szCs w:val="24"/>
        </w:rPr>
        <w:t>№</w:t>
      </w:r>
      <w:r w:rsidRPr="00DC2933">
        <w:rPr>
          <w:rFonts w:ascii="Times New Roman" w:hAnsi="Times New Roman" w:cs="Times New Roman"/>
          <w:i/>
          <w:iCs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ЖОМ</w:t>
      </w:r>
      <w:r w:rsidR="0068073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Теміртау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қаласы</w:t>
      </w:r>
      <w:proofErr w:type="spellEnd"/>
    </w:p>
    <w:p w:rsidR="00DC2933" w:rsidRP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МАҚАЛАНЫҢ АТАУЫ</w:t>
      </w:r>
    </w:p>
    <w:p w:rsidR="00DC2933" w:rsidRP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[1, с. 1].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мәтін</w:t>
      </w:r>
      <w:proofErr w:type="spellEnd"/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C2933" w:rsidRDefault="00DC2933" w:rsidP="00DC2933">
      <w:pPr>
        <w:suppressAutoHyphens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Әдебиет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4D47BA" w:rsidRPr="00986D5C" w:rsidRDefault="00DC2933" w:rsidP="00986D5C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240" w:after="160" w:line="259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6D5C">
        <w:rPr>
          <w:rFonts w:ascii="Times New Roman" w:hAnsi="Times New Roman" w:cs="Times New Roman"/>
          <w:sz w:val="28"/>
          <w:szCs w:val="28"/>
        </w:rPr>
        <w:t xml:space="preserve">Автор. </w:t>
      </w:r>
      <w:proofErr w:type="spellStart"/>
      <w:r w:rsidRPr="00986D5C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986D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6D5C">
        <w:rPr>
          <w:rFonts w:ascii="Times New Roman" w:hAnsi="Times New Roman" w:cs="Times New Roman"/>
          <w:sz w:val="28"/>
          <w:szCs w:val="28"/>
        </w:rPr>
        <w:t>Баспадан</w:t>
      </w:r>
      <w:proofErr w:type="spellEnd"/>
      <w:r w:rsidRPr="0098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D5C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98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D5C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986D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6D5C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98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D5C"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sectPr w:rsidR="004D47BA" w:rsidRPr="00986D5C" w:rsidSect="007B44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3EB5EC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36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36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36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360"/>
        </w:tabs>
      </w:pPr>
    </w:lvl>
    <w:lvl w:ilvl="6" w:tplc="FFFFFFFF">
      <w:start w:val="1"/>
      <w:numFmt w:val="lowerLetter"/>
      <w:lvlText w:val="%7."/>
      <w:lvlJc w:val="left"/>
      <w:pPr>
        <w:tabs>
          <w:tab w:val="num" w:pos="360"/>
        </w:tabs>
      </w:pPr>
    </w:lvl>
    <w:lvl w:ilvl="7" w:tplc="FFFFFFFF">
      <w:start w:val="1"/>
      <w:numFmt w:val="upperLetter"/>
      <w:lvlText w:val="%8."/>
      <w:lvlJc w:val="left"/>
      <w:pPr>
        <w:tabs>
          <w:tab w:val="num" w:pos="360"/>
        </w:tabs>
      </w:pPr>
    </w:lvl>
    <w:lvl w:ilvl="8" w:tplc="FFFFFFFF">
      <w:start w:val="1"/>
      <w:numFmt w:val="bullet"/>
      <w:lvlText w:val="·"/>
      <w:lvlJc w:val="center"/>
      <w:pPr>
        <w:tabs>
          <w:tab w:val="num" w:pos="360"/>
        </w:tabs>
      </w:pPr>
      <w:rPr>
        <w:rFonts w:ascii="Symbol" w:hAnsi="Symbol" w:cs="Symbol"/>
      </w:rPr>
    </w:lvl>
  </w:abstractNum>
  <w:abstractNum w:abstractNumId="2">
    <w:nsid w:val="00FE5110"/>
    <w:multiLevelType w:val="hybridMultilevel"/>
    <w:tmpl w:val="4946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5573C"/>
    <w:multiLevelType w:val="hybridMultilevel"/>
    <w:tmpl w:val="B1D23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A31FB"/>
    <w:multiLevelType w:val="hybridMultilevel"/>
    <w:tmpl w:val="41F0FC42"/>
    <w:lvl w:ilvl="0" w:tplc="1F66D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25750D"/>
    <w:multiLevelType w:val="hybridMultilevel"/>
    <w:tmpl w:val="0E8C6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933"/>
    <w:rsid w:val="001C3EBC"/>
    <w:rsid w:val="00331907"/>
    <w:rsid w:val="00417732"/>
    <w:rsid w:val="004D47BA"/>
    <w:rsid w:val="00680731"/>
    <w:rsid w:val="007B4423"/>
    <w:rsid w:val="008609B3"/>
    <w:rsid w:val="00986D5C"/>
    <w:rsid w:val="00B55909"/>
    <w:rsid w:val="00C10F91"/>
    <w:rsid w:val="00DC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9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0731"/>
    <w:pPr>
      <w:ind w:left="720"/>
      <w:contextualSpacing/>
    </w:pPr>
  </w:style>
  <w:style w:type="paragraph" w:customStyle="1" w:styleId="1">
    <w:name w:val="Абзац списка1"/>
    <w:basedOn w:val="a"/>
    <w:rsid w:val="0068073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k-201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pk-20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k-2015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12</cp:revision>
  <dcterms:created xsi:type="dcterms:W3CDTF">2014-12-20T11:57:00Z</dcterms:created>
  <dcterms:modified xsi:type="dcterms:W3CDTF">2014-12-24T03:45:00Z</dcterms:modified>
</cp:coreProperties>
</file>